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512</w:t>
      </w:r>
    </w:p>
    <w:p>
      <w:r>
        <w:t>Bundesgericht (BGE), 1990-08-17, DE</w:t>
      </w:r>
    </w:p>
    <w:p>
      <w:r>
        <w:rPr>
          <w:b/>
        </w:rPr>
        <w:t xml:space="preserve">Quelle: </w:t>
      </w:r>
      <w:r>
        <w:t>https://mcp.opencaselaw.ch/entscheid/bge_116 II 512</w:t>
      </w:r>
    </w:p>
    <w:p>
      <w:r>
        <w:t>FR: ATF 116 II 512</w:t>
      </w:r>
    </w:p>
    <w:p>
      <w:r>
        <w:t>IT: DTF 116 II 512</w:t>
      </w:r>
    </w:p>
    <w:p>
      <w:pPr>
        <w:pStyle w:val="Heading2"/>
      </w:pPr>
      <w:r>
        <w:t>Regeste</w:t>
      </w:r>
    </w:p>
    <w:p>
      <w:r>
        <w:t>Regeste Abtretung der Miete; Solidarität. Unmöglichkeit der Vertragserfüllung. Kündigung aus wichtigem Grund. Die Schliessung des Mietlokals, um polizeilichen Auflagen zu entgehen, bewirkt weder eine Unmöglichkeit im Sinne von Art. 119 Abs. 2 OR noch eine Befreiung des alten Mieters, der sich für die Vertragserfüllung einer Hilfsperson bedient, nach Art. 146 OR (E. 2). Nach Abtretung der Miete steht die Berufung auf einen wichtigen Grund (Art. 269 OR) ausschliesslich dem neuen Mieter zu (E. 3).</w:t>
      </w:r>
    </w:p>
    <w:p>
      <w:pPr>
        <w:pStyle w:val="Heading2"/>
      </w:pPr>
      <w:r>
        <w:t>Erwägungen</w:t>
      </w:r>
    </w:p>
    <w:p>
      <w:r>
        <w:rPr>
          <w:b/>
        </w:rPr>
        <w:t>E. 2</w:t>
      </w:r>
    </w:p>
    <w:p>
      <w:r>
        <w:t>Der Beklagte macht geltend, mit der Schliessung des Spielsalons sei die Vertragserfüllung durch die Vermieterin unmöglich geworden und seine Zinsverpflichtung daher nach Art. 119 Abs. 2 OR untergegangen. Davon kann keine Rede sein. Die Z. AG schloss den Spielsalon nach den verbindlichen Feststellungen der Vorinstanz ( Art. 63 Abs. 2 OG ) aus freiem Willensentschluss, namentlich um den für einen den polizeilichen Anforderungen genügenden Betrieb erforderlichen Investitionen zu entgehen. Darin liegt von vornherein keine Unmöglichkeit im Sinne der angerufenen Gesetzesbestimmung ( BGE 111 II 354 E. a). Namentlich lässt sich den Feststellungen der Vorinstanz nicht entnehmen, die polizeilichen Anforderungen an einen ordnungsgemässen Betrieb hätten dem Mieter ein unzumutbares Opfer auferlegt ( BGE 57 II 534 ). Die Benutzung des Mietobjektes als Spielsalon war damit weiterhin möglich. Ebensowenig befreite die Betriebsschliessung durch die Z. AG den Beklagten nach Art. 146 OR von seiner Haftung, denn diese Bestimmung gilt nur, soweit nichts anderes vereinbart ist. Dabei kommt nach der Rechtsprechung des Bundesgerichts darauf an, aus welchem Grunde die Solidarität entstanden ist. Im vorliegenden Fall geht sie darauf zurück, dass der Beklagte seinen Betrieb veräusserte und die Erfüllung des Mietvertrages der Erwerberin überband, sich somit dieser für die Vertragserfüllung bedient hat. Dadurch aber konnte er sich seinen Verpflichtungen - ohne Entlassung aus der Schuldpflicht durch die Gläubigerin nach Art. 176 OR - ebensowenig entschlagen wie irgendein Schuldner, der sich für die Erfüllung einer Hilfsperson bedient. Nach den Grundsätzen von Art. 101 OR , welche auch im Solidarschuldverhältnis der hier gegebenen Art gelten, wurde der Beklagte mithin durch das Verhalten seiner Rechtsnachfolgerin nicht entlastet, sondern hat vielmehr dafür wie für ein eigenes einzustehen ( BGE 82 II 533 E. 5). Andernfalls bliebe die vertraglich vereinbarte Haftung des Altmieters für den Mietzins toter Buchstabe. Damit erledigt sich auch die Einrede der clausula rebus sic stantibus, welche der Beklagte unter Berufung auf die Betriebsschliessung und damit auf ein Verhalten seiner Rechtsnachfolgerin erhebt.</w:t>
      </w:r>
    </w:p>
    <w:p>
      <w:r>
        <w:rPr>
          <w:b/>
        </w:rPr>
        <w:t>E. 3</w:t>
      </w:r>
    </w:p>
    <w:p>
      <w:r>
        <w:t>Der Beklagte macht weiter geltend, der Vermieterin nach erfolgter Betriebsschliessung den Rücktritt vom Vertrag erklärt zu BGE 116 II 512 S. 515 haben, was als ausserordentliche Kündigung des Vertrages gemäss Art. 269 OR zu gelten habe. Dabei übersieht er, dass er sich im Falle der Mietabtretung wie der Vertragsübernahme seiner Rechte aus dem Mietverhältnis begeben hat, darunter auch der Gestaltungsrechte auf Beendigung des Mietverhältnisses (VON TUHR/ESCHER, Allgemeiner Teil des Schweizerischen Obligationenrechts, Band II, S. 343 bei Fn. 9 und S. 346 bei Fn. 37; SCHMID, N 23 zu Art. 264 OR ). Es standen ihm danach keine Mieterrechte mehr zu; die Befugnis, unter gegebenen Voraussetzungen einseitig die Vertragsauflösung zu erklären, war ausschliesslich auf die Z. AG übergegangen (SCHMID, N 27 zu Art. 264 OR ; TERCIER, La partie spéciale du Code des obligations, S. 152, Rz. 1169), wie dies bereits die Vorinstanz zutreffend ausgeführt hat. Damit kann auch die Frage offenbleiben, ob die polizeiliche Forderung nach einem ordnungsgemässen Betrieb des Spielsalons überhaupt einen wichtigen Grund im Sinne der angerufenen Bestimmung hätte abgeben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